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media/image1.jpeg" ContentType="image/jpeg"/>
  <Override PartName="/word/document.xml" ContentType="application/vnd.openxmlformats-officedocument.wordprocessingml.document.main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/>
        <w:drawing>
          <wp:inline distT="0" distB="0" distL="0" distR="0">
            <wp:extent cx="4505960" cy="1066800"/>
            <wp:effectExtent l="0" t="0" r="0" b="0"/>
            <wp:docPr id="1" name="Obrázek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96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113" w:hanging="0"/>
        <w:jc w:val="right"/>
        <w:rPr>
          <w:rFonts w:cs="Arial"/>
          <w:b/>
          <w:b/>
          <w:color w:val="7030A0"/>
          <w:sz w:val="32"/>
        </w:rPr>
      </w:pPr>
      <w:r>
        <w:rPr>
          <w:rFonts w:cs="Arial"/>
          <w:b/>
          <w:color w:val="7030A0"/>
          <w:sz w:val="32"/>
        </w:rPr>
      </w:r>
    </w:p>
    <w:p>
      <w:pPr>
        <w:pStyle w:val="Normal"/>
        <w:ind w:right="454" w:hanging="0"/>
        <w:jc w:val="right"/>
        <w:rPr>
          <w:rFonts w:cs="Arial"/>
          <w:b/>
          <w:b/>
          <w:color w:val="C45911" w:themeColor="accent2" w:themeShade="bf"/>
          <w:sz w:val="56"/>
          <w:szCs w:val="56"/>
        </w:rPr>
      </w:pPr>
      <w:r>
        <w:rPr>
          <w:rFonts w:cs="Arial"/>
          <w:b/>
          <w:color w:val="C45911" w:themeColor="accent2" w:themeShade="bf"/>
          <w:sz w:val="56"/>
          <w:szCs w:val="56"/>
        </w:rPr>
        <w:t xml:space="preserve">Zpráva o hodnocení </w:t>
      </w:r>
    </w:p>
    <w:p>
      <w:pPr>
        <w:pStyle w:val="Normal"/>
        <w:ind w:right="454" w:hanging="0"/>
        <w:jc w:val="right"/>
        <w:rPr>
          <w:rFonts w:cs="Arial"/>
          <w:b/>
          <w:b/>
          <w:color w:val="C45911" w:themeColor="accent2" w:themeShade="bf"/>
          <w:sz w:val="56"/>
          <w:szCs w:val="56"/>
        </w:rPr>
      </w:pPr>
      <w:r>
        <w:rPr>
          <w:rFonts w:cs="Arial"/>
          <w:b/>
          <w:color w:val="C45911" w:themeColor="accent2" w:themeShade="bf"/>
          <w:sz w:val="56"/>
          <w:szCs w:val="56"/>
        </w:rPr>
        <w:t>studijního programu – vyjádření člena RVH</w:t>
      </w:r>
    </w:p>
    <w:p>
      <w:pPr>
        <w:pStyle w:val="Normal"/>
        <w:ind w:right="454" w:hanging="0"/>
        <w:jc w:val="right"/>
        <w:rPr>
          <w:rFonts w:cs="Arial"/>
          <w:b/>
          <w:b/>
          <w:color w:val="7030A0"/>
          <w:sz w:val="40"/>
        </w:rPr>
      </w:pPr>
      <w:r>
        <w:rPr>
          <w:rFonts w:cs="Arial"/>
          <w:b/>
          <w:color w:val="7030A0"/>
          <w:sz w:val="40"/>
        </w:rPr>
      </w:r>
    </w:p>
    <w:p>
      <w:pPr>
        <w:pStyle w:val="Normal"/>
        <w:ind w:right="454" w:hanging="0"/>
        <w:jc w:val="right"/>
        <w:rPr>
          <w:rFonts w:cs="Arial"/>
          <w:b/>
          <w:b/>
          <w:color w:val="000000" w:themeColor="text1"/>
          <w:sz w:val="36"/>
          <w:szCs w:val="36"/>
        </w:rPr>
      </w:pPr>
      <w:r>
        <w:rPr>
          <w:rFonts w:cs="Arial"/>
          <w:b/>
          <w:color w:val="000000" w:themeColor="text1"/>
          <w:sz w:val="36"/>
          <w:szCs w:val="36"/>
        </w:rPr>
        <w:t xml:space="preserve">Navazující magisterský studijní program </w:t>
      </w:r>
    </w:p>
    <w:p>
      <w:pPr>
        <w:pStyle w:val="Normal"/>
        <w:ind w:right="454" w:hanging="0"/>
        <w:jc w:val="right"/>
        <w:rPr>
          <w:rFonts w:cs="Arial"/>
          <w:b/>
          <w:b/>
          <w:color w:val="7030A0"/>
          <w:sz w:val="40"/>
        </w:rPr>
      </w:pPr>
      <w:r>
        <w:rPr>
          <w:rFonts w:cs="Arial"/>
          <w:b/>
          <w:color w:val="7030A0"/>
          <w:sz w:val="40"/>
        </w:rPr>
      </w:r>
    </w:p>
    <w:p>
      <w:pPr>
        <w:pStyle w:val="Normal"/>
        <w:ind w:right="454" w:hanging="0"/>
        <w:jc w:val="right"/>
        <w:rPr>
          <w:rFonts w:cs="Arial"/>
          <w:color w:val="C45911" w:themeColor="accent2" w:themeShade="bf"/>
          <w:sz w:val="38"/>
          <w:szCs w:val="38"/>
        </w:rPr>
      </w:pPr>
      <w:r>
        <w:rPr>
          <w:rFonts w:cs="Arial"/>
          <w:color w:val="C45911" w:themeColor="accent2" w:themeShade="bf"/>
          <w:sz w:val="38"/>
          <w:szCs w:val="38"/>
        </w:rPr>
        <w:t xml:space="preserve">Univerzita Tomáše Bati ve Zlíně </w:t>
      </w:r>
    </w:p>
    <w:p>
      <w:pPr>
        <w:pStyle w:val="Normal"/>
        <w:ind w:right="454" w:hanging="0"/>
        <w:jc w:val="right"/>
        <w:rPr>
          <w:rFonts w:cs="Arial"/>
          <w:color w:val="7030A0"/>
          <w:sz w:val="38"/>
          <w:szCs w:val="38"/>
        </w:rPr>
      </w:pPr>
      <w:r>
        <w:rPr>
          <w:rFonts w:cs="Arial"/>
          <w:color w:val="7030A0"/>
          <w:sz w:val="38"/>
          <w:szCs w:val="38"/>
        </w:rPr>
      </w:r>
    </w:p>
    <w:p>
      <w:pPr>
        <w:pStyle w:val="Normal"/>
        <w:ind w:right="454" w:hanging="0"/>
        <w:jc w:val="right"/>
        <w:rPr>
          <w:rFonts w:cs="Arial"/>
          <w:b/>
          <w:b/>
          <w:color w:val="7030A0"/>
          <w:sz w:val="52"/>
        </w:rPr>
      </w:pPr>
      <w:r>
        <w:rPr>
          <w:rFonts w:cs="Arial"/>
          <w:b/>
          <w:color w:val="7030A0"/>
          <w:sz w:val="52"/>
        </w:rPr>
      </w:r>
    </w:p>
    <w:p>
      <w:pPr>
        <w:pStyle w:val="Normal"/>
        <w:ind w:right="454" w:hanging="0"/>
        <w:jc w:val="right"/>
        <w:rPr>
          <w:rFonts w:cs="Arial"/>
          <w:color w:val="C45911" w:themeColor="accent2" w:themeShade="bf"/>
          <w:sz w:val="44"/>
          <w:szCs w:val="44"/>
        </w:rPr>
      </w:pPr>
      <w:r>
        <w:rPr>
          <w:rFonts w:cs="Arial"/>
          <w:color w:val="C45911" w:themeColor="accent2" w:themeShade="bf"/>
          <w:sz w:val="44"/>
          <w:szCs w:val="44"/>
        </w:rPr>
        <w:t>09/2023</w:t>
      </w:r>
    </w:p>
    <w:p>
      <w:pPr>
        <w:pStyle w:val="NoSpacing"/>
        <w:ind w:right="113" w:hanging="0"/>
        <w:rPr>
          <w:rFonts w:ascii="Arial" w:hAnsi="Arial" w:cs="Arial"/>
          <w:color w:val="800080"/>
        </w:rPr>
      </w:pPr>
      <w:r>
        <w:rPr>
          <w:rFonts w:cs="Arial" w:ascii="Arial" w:hAnsi="Arial"/>
          <w:color w:val="800080"/>
        </w:rPr>
      </w:r>
    </w:p>
    <w:p>
      <w:pPr>
        <w:pStyle w:val="NoSpacing"/>
        <w:rPr>
          <w:rFonts w:ascii="Arial" w:hAnsi="Arial" w:cs="Arial"/>
          <w:b/>
          <w:b/>
          <w:color w:val="6D1F80"/>
        </w:rPr>
      </w:pPr>
      <w:r>
        <w:rPr>
          <w:rFonts w:cs="Arial" w:ascii="Arial" w:hAnsi="Arial"/>
          <w:b/>
          <w:color w:val="6D1F80"/>
        </w:rPr>
      </w:r>
    </w:p>
    <w:p>
      <w:pPr>
        <w:pStyle w:val="NoSpacing"/>
        <w:rPr>
          <w:rFonts w:ascii="Arial" w:hAnsi="Arial" w:cs="Arial"/>
          <w:b/>
          <w:b/>
          <w:color w:val="6D1F80"/>
        </w:rPr>
      </w:pPr>
      <w:r>
        <w:rPr>
          <w:rFonts w:cs="Arial" w:ascii="Arial" w:hAnsi="Arial"/>
          <w:b/>
          <w:color w:val="6D1F80"/>
        </w:rPr>
      </w:r>
    </w:p>
    <w:p>
      <w:pPr>
        <w:pStyle w:val="NoSpacing"/>
        <w:rPr>
          <w:rFonts w:ascii="Arial" w:hAnsi="Arial" w:cs="Arial"/>
          <w:b/>
          <w:b/>
          <w:color w:val="6D1F80"/>
        </w:rPr>
      </w:pPr>
      <w:r>
        <w:rPr>
          <w:rFonts w:cs="Arial" w:ascii="Arial" w:hAnsi="Arial"/>
          <w:b/>
          <w:color w:val="6D1F80"/>
        </w:rPr>
      </w:r>
    </w:p>
    <w:p>
      <w:pPr>
        <w:pStyle w:val="Normal"/>
        <w:ind w:right="454" w:hanging="0"/>
        <w:rPr>
          <w:rFonts w:cs="Arial"/>
          <w:color w:val="7030A0"/>
          <w:sz w:val="38"/>
          <w:szCs w:val="38"/>
        </w:rPr>
      </w:pPr>
      <w:r>
        <w:rPr>
          <w:rFonts w:cs="Arial"/>
          <w:color w:val="7030A0"/>
          <w:sz w:val="38"/>
          <w:szCs w:val="38"/>
        </w:rPr>
      </w:r>
    </w:p>
    <w:p>
      <w:pPr>
        <w:pStyle w:val="Normal"/>
        <w:ind w:right="454" w:hanging="0"/>
        <w:rPr>
          <w:rFonts w:cs="Arial"/>
          <w:color w:val="7030A0"/>
          <w:sz w:val="32"/>
          <w:szCs w:val="32"/>
        </w:rPr>
      </w:pPr>
      <w:r>
        <w:rPr>
          <w:rFonts w:cs="Arial"/>
          <w:color w:val="7030A0"/>
          <w:sz w:val="32"/>
          <w:szCs w:val="32"/>
        </w:rPr>
      </w:r>
    </w:p>
    <w:p>
      <w:pPr>
        <w:pStyle w:val="Normal"/>
        <w:ind w:right="454" w:hanging="0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>
        <w:rPr>
          <w:rFonts w:cs="Arial" w:ascii="Arial Narrow" w:hAnsi="Arial Narrow"/>
          <w:color w:val="C45911" w:themeColor="accent2" w:themeShade="bf"/>
          <w:sz w:val="32"/>
          <w:szCs w:val="32"/>
        </w:rPr>
        <w:t>Fakulta: Fakulta multimediálních komunikací</w:t>
      </w:r>
    </w:p>
    <w:p>
      <w:pPr>
        <w:pStyle w:val="Normal"/>
        <w:ind w:right="454" w:hanging="0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>
        <w:rPr>
          <w:rFonts w:cs="Arial" w:ascii="Arial Narrow" w:hAnsi="Arial Narrow"/>
          <w:color w:val="C45911" w:themeColor="accent2" w:themeShade="bf"/>
          <w:sz w:val="32"/>
          <w:szCs w:val="32"/>
        </w:rPr>
        <w:t>Studijní program: Marketing Communication</w:t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417" w:right="1417" w:header="708" w:top="1417" w:footer="708" w:bottom="1417" w:gutter="0"/>
          <w:pgNumType w:fmt="decimal"/>
          <w:formProt w:val="false"/>
          <w:textDirection w:val="lrTb"/>
          <w:docGrid w:type="default" w:linePitch="360" w:charSpace="0"/>
        </w:sectPr>
        <w:pStyle w:val="Normal"/>
        <w:ind w:right="454" w:hanging="0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>
        <w:rPr>
          <w:rFonts w:cs="Arial" w:ascii="Arial Narrow" w:hAnsi="Arial Narrow"/>
          <w:color w:val="C45911" w:themeColor="accent2" w:themeShade="bf"/>
          <w:sz w:val="32"/>
          <w:szCs w:val="32"/>
        </w:rPr>
        <w:t>Garant studijního programu: doc. PhDr. Blandína Šramová, Ph.D.</w:t>
      </w:r>
    </w:p>
    <w:p>
      <w:pPr>
        <w:pStyle w:val="NoSpacing"/>
        <w:ind w:right="283" w:hanging="0"/>
        <w:rPr>
          <w:rFonts w:ascii="Arial" w:hAnsi="Arial" w:cs="Arial"/>
          <w:b/>
          <w:b/>
          <w:szCs w:val="22"/>
        </w:rPr>
      </w:pPr>
      <w:r>
        <w:rPr>
          <w:rFonts w:cs="Arial" w:ascii="Arial" w:hAnsi="Arial"/>
          <w:b/>
          <w:szCs w:val="22"/>
        </w:rPr>
        <w:t>Zpracovatel posudku: doc. Mgr. Roman Trušník, Ph.D.</w:t>
      </w:r>
    </w:p>
    <w:p>
      <w:pPr>
        <w:pStyle w:val="NoSpacing"/>
        <w:ind w:right="283" w:hanging="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tbl>
      <w:tblPr>
        <w:tblStyle w:val="Mkatabulky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22"/>
        <w:gridCol w:w="2039"/>
      </w:tblGrid>
      <w:tr>
        <w:trPr>
          <w:trHeight w:val="357" w:hRule="atLeast"/>
        </w:trPr>
        <w:tc>
          <w:tcPr>
            <w:tcW w:w="7022" w:type="dxa"/>
            <w:tcBorders/>
            <w:shd w:color="auto" w:fill="F7CAAC" w:themeFill="accent2" w:themeFillTint="66" w:val="clear"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Oblast hodnocení studijního programu (dále jen „SP“)</w:t>
            </w:r>
            <w:r>
              <w:rPr>
                <w:rStyle w:val="Ukotvenpoznmkypodarou"/>
                <w:rFonts w:cs="Arial" w:ascii="Arial" w:hAnsi="Arial"/>
                <w:b/>
                <w:sz w:val="20"/>
              </w:rPr>
              <w:footnoteReference w:id="2"/>
            </w:r>
          </w:p>
        </w:tc>
        <w:tc>
          <w:tcPr>
            <w:tcW w:w="2039" w:type="dxa"/>
            <w:tcBorders/>
            <w:shd w:color="auto" w:fill="F7CAAC" w:themeFill="accent2" w:themeFillTint="66" w:val="clear"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Hodnotící stanovisko</w:t>
            </w:r>
            <w:r>
              <w:rPr>
                <w:rStyle w:val="Ukotvenpoznmkypodarou"/>
                <w:rFonts w:cs="Arial" w:ascii="Arial" w:hAnsi="Arial"/>
                <w:b/>
                <w:sz w:val="20"/>
              </w:rPr>
              <w:footnoteReference w:id="3"/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Hodnocení standardů v části 2.) Sebehodnotící zprávy- „Šetření zpětné vazby“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zajištěny výsledky šetření zpětné vazby na svou činnost a promítá jejich zjištění do realizace a rozvoje SP.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Hodnocení standardů v části 3.) Sebehodnotící zprávy – „Tvůrčí činnosti související se vzdělávací činností“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vykazuje dostatečnou tvůrčí činnost a promítá jí do vzdělávací činnosti v rámci SP.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4.)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„Mezinárodní rozměr SP“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dostatečný mezinárodní rozměr z hlediska profilu absolventa a zaměření SP.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 částečně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5.)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„Výsledky hodnocení bakalářských/diplomových/dizertačních prací“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zajištěny opatření pro kvalitu vedení bakalářských / diplomových / dizertačních prací.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6.)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„Úspěšnost v přijímacím řízení“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dostatečný počet uchazečů pro svou realizaci a zavedena opatření na podporu zájmu o studium SP.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7.)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„Neúspěšnost ve studiu a řádné ukončování studia“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vykazuje nízkou neúspěšnost ve studiu a má zavedena opatření pro podporu snižování neúspěšnosti studia.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8.)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„Nezaměstnanost absolventů“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vykazuje nízkou nezaměstnanost absolventů a má zavedena opatření po podporu snižování nezaměstnanosti absolventů.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9.)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„Pedagogické, vědecké a technické zajištění SP“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je dostatečně zajištěn po stránce personální, vědecké a technické.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  <w:tr>
        <w:trPr>
          <w:trHeight w:val="357" w:hRule="atLeast"/>
        </w:trPr>
        <w:tc>
          <w:tcPr>
            <w:tcW w:w="7022" w:type="dxa"/>
            <w:tcBorders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Hodnocení standardů v části </w:t>
            </w:r>
            <w:r>
              <w:rPr>
                <w:rFonts w:cs="Arial" w:ascii="Arial" w:hAnsi="Arial"/>
                <w:sz w:val="18"/>
                <w:szCs w:val="18"/>
              </w:rPr>
              <w:t xml:space="preserve">10.) </w:t>
            </w:r>
            <w:r>
              <w:rPr>
                <w:rFonts w:cs="Arial" w:ascii="Arial" w:hAnsi="Arial"/>
                <w:b/>
                <w:sz w:val="18"/>
                <w:szCs w:val="18"/>
              </w:rPr>
              <w:t>Sebehodnotící zprávy – „SWOT analýza SP“</w:t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</w:r>
          </w:p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SP má jasně zhodnoceny silné a slabé stránky, stejně jako příležitosti a hrozby další realizace. Na jejich základě má pak SP formulována adekvátní opatření dalšího rozvoje.</w:t>
            </w:r>
          </w:p>
        </w:tc>
        <w:tc>
          <w:tcPr>
            <w:tcW w:w="2039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Splňuje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uto" w:line="259" w:before="0" w:after="160"/>
        <w:rPr/>
      </w:pPr>
      <w:r>
        <w:rPr/>
      </w:r>
      <w:r>
        <w:br w:type="page"/>
      </w:r>
    </w:p>
    <w:p>
      <w:pPr>
        <w:pStyle w:val="Normal"/>
        <w:rPr/>
      </w:pPr>
      <w:r>
        <w:rPr/>
      </w:r>
    </w:p>
    <w:tbl>
      <w:tblPr>
        <w:tblStyle w:val="Mkatabulky"/>
        <w:tblW w:w="906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067"/>
      </w:tblGrid>
      <w:tr>
        <w:trPr>
          <w:trHeight w:val="603" w:hRule="atLeast"/>
        </w:trPr>
        <w:tc>
          <w:tcPr>
            <w:tcW w:w="9067" w:type="dxa"/>
            <w:tcBorders/>
            <w:shd w:color="auto" w:fill="F7CAAC" w:themeFill="accent2" w:themeFillTint="66" w:val="clear"/>
          </w:tcPr>
          <w:p>
            <w:pPr>
              <w:pStyle w:val="NoSpacing"/>
              <w:spacing w:before="40" w:after="40"/>
              <w:ind w:right="284" w:hanging="0"/>
              <w:jc w:val="left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  <w:t>Celkové hodnocení SP</w:t>
            </w:r>
          </w:p>
        </w:tc>
      </w:tr>
      <w:tr>
        <w:trPr>
          <w:trHeight w:val="357" w:hRule="atLeast"/>
        </w:trPr>
        <w:tc>
          <w:tcPr>
            <w:tcW w:w="9067" w:type="dxa"/>
            <w:tcBorders/>
          </w:tcPr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Zdůvodnění hodnotících stanovisek k jednotlivým oblastem SP uvedeným výše: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Spacing"/>
              <w:spacing w:before="40" w:after="40"/>
              <w:ind w:right="284" w:hanging="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Posuzovaný SP je anglickou mutací SP Marketingová komunikace realizovaného v českém jazyce, přičemž anglická verze programu se </w:t>
            </w: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cs-CZ" w:eastAsia="en-US" w:bidi="ar-SA"/>
              </w:rPr>
              <w:t>uskutečňuje</w:t>
            </w:r>
            <w:r>
              <w:rPr>
                <w:rFonts w:cs="Arial" w:ascii="Arial" w:hAnsi="Arial"/>
                <w:sz w:val="20"/>
                <w:szCs w:val="20"/>
              </w:rPr>
              <w:t xml:space="preserve"> pouze v prezenční formě. Spřízněnost programů se odráží i v koncepci předkládané kontrolní zprávy. 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Fakulta reflektuje hodnocení programu ze strany studentů, absolventů i zaměstnavatelů, byť stejně jako v řadě dalších studijních programů </w:t>
            </w:r>
            <w:r>
              <w:rPr>
                <w:rFonts w:cs="Arial" w:ascii="Arial" w:hAnsi="Arial"/>
                <w:sz w:val="20"/>
                <w:szCs w:val="20"/>
              </w:rPr>
              <w:t xml:space="preserve">byla návratnost dotazníků v šetření v roce 2021 ze strany zaměstnavatelů minimální a </w:t>
            </w: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cs-CZ" w:eastAsia="en-US" w:bidi="ar-SA"/>
              </w:rPr>
              <w:t>vzhledem k době realizace se vztahuje jen k SP realizovanému v češtině</w:t>
            </w:r>
            <w:r>
              <w:rPr>
                <w:rFonts w:cs="Arial" w:ascii="Arial" w:hAnsi="Arial"/>
                <w:sz w:val="20"/>
                <w:szCs w:val="20"/>
              </w:rPr>
              <w:t>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Tvůrčí činnost odpovídá realizovanému programu, včetně projektové činnosti (TA ČR Gamma) a spolupráce s firemním a veřejným sektorem. Předložená bibliografie publikačních výstupů je výběrová, spíše s menším zastoupením výstupů v databázích Web of Science a Scopus, na což ostatně upozorňují předkladatelé zprávy v závěrečné SWOT analýze. 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Tvůrčí činnost studentů odpovídá očekávání u profesně zaměřeného studijního programu; vzhledem k charakteru oboru se zde tvůrčí činnost pohybuje mimo tradiční publikační činnost či činnost výzkumnou, resp. participaci na výzkumných projektech.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Přestože aktivity směřující k rozvoji mezinárodního rozměru SP se jeví dostatečné, sama fakulta ve SWOT analýze přiznává, že "Studijní program má vysoký kredit zejména na tuzemské (ČR + SR) úrovni, mezinárodní kredit je omezený"</w:t>
            </w: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cs-CZ" w:eastAsia="en-US" w:bidi="ar-SA"/>
              </w:rPr>
              <w:t>.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Systém hodnocení diplomových prací vede ke zohledňování zjištění ve vzdělávací činnosti a upřesňování požadavků na studenty dalších ročníků.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Specifickou oblastí anglicky realizovaného SP je záležitost přijímání studentů z jiných zemí, které naráží mj. na neschopnost žadatelů dodat včas požadované dokumenty, na finanční okolnosti i splnění požadavků vízového procesu, zvláště u SP na magisterské úrovni.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cs-CZ" w:eastAsia="en-US" w:bidi="ar-SA"/>
              </w:rPr>
              <w:t>Tyto okolnosti mají podstatný vliv i na studijní neúspěšnost, která je vzhledem k nízkému počtu studentů SP jen obtížně vyhodnotitelná. Obtížná vyhodnotitelnost se týká i nezaměstnanosti absolventů.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 xml:space="preserve">Pedagogické zajištění je stabilní a pro profesně zaměřený studijní program adekvátní, tomuto typu SP odpovídá i množství odborníků z praxe. 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  <w:t>Doporučení pro rozvoj SP: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Směry rozvoje SP nastiňuje v kontrolní zprávě sama fakulta, která se chce zaměřit na kvalitu výuky, její monitoring, reflexi výsledků v nastavení studijního programu; podílení se na výzkumu a vývoji trendů v oblasti marketingové komunikace; mezioborovou spolupráci, provázanost a návaznost oborů a uplatnitelnost absolventů; rozvoj personálního zabezpečení; a budování pozitivní image oboru a positioningu značky s konkurenční výhodou v propojení s ostatními studijními programy FMK. Tento plán rozvoje lze akceptovat, doporučuji se dále zaměřit na posilování mezinárodního rozměru sahajícího i za středoevropský region a zvláště u magisterského studijního programu i na publikační činnost indexovanou v databázích Web of Science a Scopus, což je důležitý faktor v personálním </w:t>
            </w: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cs-CZ" w:eastAsia="en-US" w:bidi="ar-SA"/>
              </w:rPr>
              <w:t>růstu pracovníků podílejících se na realizaci SP</w:t>
            </w:r>
            <w:r>
              <w:rPr>
                <w:rFonts w:cs="Arial" w:ascii="Arial" w:hAnsi="Arial"/>
                <w:sz w:val="20"/>
                <w:szCs w:val="20"/>
              </w:rPr>
              <w:t>.</w:t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Spacing"/>
              <w:spacing w:before="40" w:after="40"/>
              <w:ind w:right="284" w:hanging="0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11. 9. 2023</w:t>
      </w:r>
    </w:p>
    <w:p>
      <w:pPr>
        <w:pStyle w:val="NoSpacing"/>
        <w:ind w:right="283" w:hanging="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………………………</w:t>
      </w:r>
      <w:r>
        <w:rPr>
          <w:rFonts w:cs="Arial" w:ascii="Arial" w:hAnsi="Arial"/>
          <w:sz w:val="20"/>
        </w:rPr>
        <w:t>..</w:t>
        <w:tab/>
        <w:tab/>
        <w:tab/>
        <w:tab/>
        <w:tab/>
        <w:t>………………………………………...</w:t>
      </w:r>
    </w:p>
    <w:p>
      <w:pPr>
        <w:pStyle w:val="NoSpacing"/>
        <w:ind w:right="283" w:hanging="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Datum</w:t>
        <w:tab/>
        <w:tab/>
        <w:tab/>
        <w:tab/>
        <w:tab/>
        <w:tab/>
        <w:t xml:space="preserve">           Podpis oponenta studijního programu</w:t>
      </w:r>
    </w:p>
    <w:p>
      <w:pPr>
        <w:pStyle w:val="Normal"/>
        <w:rPr/>
      </w:pPr>
      <w:r>
        <w:rPr/>
      </w:r>
    </w:p>
    <w:sectPr>
      <w:headerReference w:type="default" r:id="rId5"/>
      <w:headerReference w:type="first" r:id="rId6"/>
      <w:footerReference w:type="default" r:id="rId7"/>
      <w:footerReference w:type="first" r:id="rId8"/>
      <w:footnotePr>
        <w:numFmt w:val="decimal"/>
      </w:footnotePr>
      <w:type w:val="nextPage"/>
      <w:pgSz w:w="11906" w:h="16838"/>
      <w:pgMar w:left="1417" w:right="1417" w:header="708" w:top="1417" w:footer="708" w:bottom="141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Narrow">
    <w:charset w:val="01"/>
    <w:family w:val="roman"/>
    <w:pitch w:val="variable"/>
  </w:font>
  <w:font w:name="Trebuchet M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jc w:val="both"/>
      <w:rPr/>
    </w:pPr>
    <w:r>
      <w:rPr>
        <w:sz w:val="18"/>
        <w:szCs w:val="18"/>
      </w:rPr>
      <w:t xml:space="preserve">Formulář je platný pro </w:t>
    </w:r>
    <w:bookmarkStart w:id="0" w:name="_GoBack"/>
    <w:bookmarkEnd w:id="0"/>
    <w:r>
      <w:rPr>
        <w:sz w:val="18"/>
        <w:szCs w:val="18"/>
      </w:rPr>
      <w:t>bakalářské, magisterské a navazující magisterské, doktorské studijní programy uskutečňované na základě akreditace udělené NAÚ či RVH UTB v rámci Institucionální akreditace UTB ve Zlíně.</w:t>
    </w:r>
  </w:p>
  <w:p>
    <w:pPr>
      <w:pStyle w:val="Zpa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19996035"/>
    </w:sdtPr>
    <w:sdtContent>
      <w:p>
        <w:pPr>
          <w:pStyle w:val="Zpat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Zpa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jc w:val="both"/>
      <w:rPr/>
    </w:pPr>
    <w:r>
      <w:rPr>
        <w:sz w:val="18"/>
        <w:szCs w:val="18"/>
      </w:rPr>
      <w:t xml:space="preserve">Formulář je platný pro </w:t>
    </w:r>
    <w:bookmarkStart w:id="1" w:name="_GoBack22"/>
    <w:bookmarkEnd w:id="1"/>
    <w:r>
      <w:rPr>
        <w:sz w:val="18"/>
        <w:szCs w:val="18"/>
      </w:rPr>
      <w:t>bakalářské, magisterské a navazující magisterské, doktorské studijní programy uskutečňované na základě akreditace udělené NAÚ či RVH UTB v rámci Institucionální akreditace UTB ve Zlíně.</w:t>
    </w:r>
  </w:p>
  <w:p>
    <w:pPr>
      <w:pStyle w:val="Zpat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oznmkapodarou"/>
        <w:rPr>
          <w:sz w:val="18"/>
          <w:szCs w:val="18"/>
        </w:rPr>
      </w:pPr>
      <w:r>
        <w:rPr>
          <w:rStyle w:val="Znakypropoznmkupodarou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Jednotlivé oblasti hodnocení SP korespondují se strukturou Sebehodnotící zprávy garanta SP.</w:t>
      </w:r>
    </w:p>
  </w:footnote>
  <w:footnote w:id="3">
    <w:p>
      <w:pPr>
        <w:pStyle w:val="Poznmkapodarou"/>
        <w:jc w:val="both"/>
        <w:rPr>
          <w:sz w:val="18"/>
          <w:szCs w:val="18"/>
        </w:rPr>
      </w:pPr>
      <w:r>
        <w:rPr>
          <w:rStyle w:val="Znakypropoznmkupodarou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V Případě hodnocení je třeba uvést jednu z možnosti naplnění standardu: splňuje uvedený standard; splňuje částečně či nesplňuje standard. Zdůvodnění splnění/nesplnění standardů je možné uvést v rámci celkového hodnocení SP.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/>
    </w:pPr>
    <w:r>
      <w:rPr/>
    </w:r>
  </w:p>
</w:hdr>
</file>

<file path=word/settings.xml><?xml version="1.0" encoding="utf-8"?>
<w:settings xmlns:w="http://schemas.openxmlformats.org/wordprocessingml/2006/main">
  <w:zoom w:percent="18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6284c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" w:cstheme="minorBidi" w:eastAsiaTheme="minorHAnsi"/>
      <w:color w:val="auto"/>
      <w:kern w:val="0"/>
      <w:sz w:val="20"/>
      <w:szCs w:val="20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link w:val="Zhlav"/>
    <w:uiPriority w:val="99"/>
    <w:qFormat/>
    <w:rsid w:val="00a24846"/>
    <w:rPr>
      <w:rFonts w:ascii="Arial" w:hAnsi="Arial"/>
      <w:sz w:val="20"/>
      <w:szCs w:val="20"/>
    </w:rPr>
  </w:style>
  <w:style w:type="character" w:styleId="ZpatChar" w:customStyle="1">
    <w:name w:val="Zápatí Char"/>
    <w:basedOn w:val="DefaultParagraphFont"/>
    <w:link w:val="Zpat"/>
    <w:uiPriority w:val="99"/>
    <w:qFormat/>
    <w:rsid w:val="00a24846"/>
    <w:rPr>
      <w:rFonts w:ascii="Arial" w:hAnsi="Arial"/>
      <w:sz w:val="20"/>
      <w:szCs w:val="20"/>
    </w:rPr>
  </w:style>
  <w:style w:type="character" w:styleId="TextpoznpodarouChar" w:customStyle="1">
    <w:name w:val="Text pozn. pod čarou Char"/>
    <w:basedOn w:val="DefaultParagraphFont"/>
    <w:link w:val="Textpoznpodarou"/>
    <w:uiPriority w:val="99"/>
    <w:semiHidden/>
    <w:qFormat/>
    <w:rsid w:val="001e045c"/>
    <w:rPr>
      <w:rFonts w:ascii="Arial" w:hAnsi="Arial"/>
      <w:sz w:val="20"/>
      <w:szCs w:val="20"/>
    </w:rPr>
  </w:style>
  <w:style w:type="character" w:styleId="Ukotvenpoznmkypodarou">
    <w:name w:val="Ukotvení poznámky pod čarou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1e045c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d1011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qFormat/>
    <w:rsid w:val="00cd1011"/>
    <w:rPr>
      <w:rFonts w:ascii="Arial" w:hAnsi="Arial"/>
      <w:sz w:val="20"/>
      <w:szCs w:val="20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qFormat/>
    <w:rsid w:val="00cd1011"/>
    <w:rPr>
      <w:rFonts w:ascii="Arial" w:hAnsi="Arial"/>
      <w:b/>
      <w:bCs/>
      <w:sz w:val="20"/>
      <w:szCs w:val="20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cd1011"/>
    <w:rPr>
      <w:rFonts w:ascii="Segoe UI" w:hAnsi="Segoe UI" w:cs="Segoe UI"/>
      <w:sz w:val="18"/>
      <w:szCs w:val="18"/>
    </w:rPr>
  </w:style>
  <w:style w:type="character" w:styleId="Internetovodkaz">
    <w:name w:val="Internetový odkaz"/>
    <w:basedOn w:val="DefaultParagraphFont"/>
    <w:uiPriority w:val="99"/>
    <w:unhideWhenUsed/>
    <w:rsid w:val="00af4443"/>
    <w:rPr>
      <w:color w:val="0563C1" w:themeColor="hyperlink"/>
      <w:u w:val="single"/>
    </w:rPr>
  </w:style>
  <w:style w:type="character" w:styleId="Znakypropoznmkupodarou">
    <w:name w:val="Znaky pro poznámku pod čarou"/>
    <w:qFormat/>
    <w:rPr/>
  </w:style>
  <w:style w:type="character" w:styleId="Ukotvenvysvtlivky">
    <w:name w:val="Ukotvení vysvětlivky"/>
    <w:rPr>
      <w:vertAlign w:val="superscript"/>
    </w:rPr>
  </w:style>
  <w:style w:type="character" w:styleId="Znakyprovysvtlivky">
    <w:name w:val="Znaky pro vysvětlivky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Noto Sans CJK SC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</w:rPr>
  </w:style>
  <w:style w:type="paragraph" w:styleId="NoSpacing">
    <w:name w:val="No Spacing"/>
    <w:uiPriority w:val="1"/>
    <w:qFormat/>
    <w:rsid w:val="00a6284c"/>
    <w:pPr>
      <w:widowControl w:val="false"/>
      <w:suppressAutoHyphens w:val="true"/>
      <w:bidi w:val="0"/>
      <w:spacing w:lineRule="auto" w:line="240" w:before="0" w:after="0"/>
      <w:jc w:val="both"/>
    </w:pPr>
    <w:rPr>
      <w:rFonts w:ascii="Arial Narrow" w:hAnsi="Arial Narrow" w:eastAsia="Calibri" w:cs="" w:cstheme="minorBidi" w:eastAsiaTheme="minorHAnsi"/>
      <w:color w:val="auto"/>
      <w:kern w:val="0"/>
      <w:sz w:val="20"/>
      <w:szCs w:val="20"/>
      <w:lang w:val="cs-CZ" w:eastAsia="en-US" w:bidi="ar-SA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a2484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ZpatChar"/>
    <w:uiPriority w:val="99"/>
    <w:unhideWhenUsed/>
    <w:rsid w:val="00a2484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oznmkapodarou">
    <w:name w:val="Footnote Text"/>
    <w:basedOn w:val="Normal"/>
    <w:link w:val="TextpoznpodarouChar"/>
    <w:uiPriority w:val="99"/>
    <w:semiHidden/>
    <w:unhideWhenUsed/>
    <w:rsid w:val="001e045c"/>
    <w:pPr/>
    <w:rPr/>
  </w:style>
  <w:style w:type="paragraph" w:styleId="Annotationtext">
    <w:name w:val="annotation text"/>
    <w:basedOn w:val="Normal"/>
    <w:link w:val="TextkomenteChar"/>
    <w:uiPriority w:val="99"/>
    <w:unhideWhenUsed/>
    <w:qFormat/>
    <w:rsid w:val="00cd1011"/>
    <w:pPr/>
    <w:rPr/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cd1011"/>
    <w:pPr/>
    <w:rPr>
      <w:b/>
      <w:bCs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cd1011"/>
    <w:pPr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5d3fb3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" w:cstheme="minorBidi" w:eastAsiaTheme="minorHAnsi"/>
      <w:color w:val="auto"/>
      <w:kern w:val="0"/>
      <w:sz w:val="20"/>
      <w:szCs w:val="20"/>
      <w:lang w:val="cs-CZ" w:eastAsia="en-US" w:bidi="ar-SA"/>
    </w:rPr>
  </w:style>
  <w:style w:type="paragraph" w:styleId="ListParagraph">
    <w:name w:val="List Paragraph"/>
    <w:basedOn w:val="Normal"/>
    <w:uiPriority w:val="34"/>
    <w:qFormat/>
    <w:rsid w:val="00087acc"/>
    <w:pPr>
      <w:spacing w:lineRule="auto" w:line="360" w:before="0" w:after="120"/>
      <w:ind w:left="720" w:hanging="0"/>
      <w:contextualSpacing/>
      <w:jc w:val="both"/>
    </w:pPr>
    <w:rPr>
      <w:rFonts w:ascii="Trebuchet MS" w:hAnsi="Trebuchet MS" w:eastAsia="Times New Roman" w:cs="Times New Roman"/>
      <w:sz w:val="24"/>
      <w:szCs w:val="24"/>
      <w:lang w:eastAsia="cs-CZ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1504f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notes" Target="footnotes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B7D3C-974C-4003-811C-044962CD2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LibreOffice/6.4.7.2$Linux_X86_64 LibreOffice_project/40$Build-2</Application>
  <Pages>3</Pages>
  <Words>938</Words>
  <Characters>6028</Characters>
  <CharactersWithSpaces>6942</CharactersWithSpaces>
  <Paragraphs>63</Paragraphs>
  <Company>CPP UJEP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2019-06-13T07:41:00Z</dcterms:created>
  <dc:creator>zukersteinj</dc:creator>
  <dc:description/>
  <dc:language>cs-CZ</dc:language>
  <cp:lastModifiedBy/>
  <cp:lastPrinted>2019-02-12T13:50:00Z</cp:lastPrinted>
  <dcterms:modified xsi:type="dcterms:W3CDTF">2023-09-12T10:29:27Z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CPP UJEP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